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B7" w:rsidRDefault="00A750B7" w:rsidP="00A750B7">
      <w:pPr>
        <w:spacing w:before="100" w:beforeAutospacing="1" w:after="100" w:afterAutospacing="1"/>
        <w:rPr>
          <w:b/>
          <w:sz w:val="24"/>
          <w:szCs w:val="24"/>
          <w:u w:val="single"/>
        </w:rPr>
      </w:pPr>
      <w:bookmarkStart w:id="0" w:name="Acceptable_standard_of_health"/>
      <w:bookmarkEnd w:id="0"/>
      <w:r>
        <w:rPr>
          <w:b/>
          <w:sz w:val="24"/>
          <w:szCs w:val="24"/>
          <w:u w:val="single"/>
        </w:rPr>
        <w:t>Immigration Medical Policy 2026</w:t>
      </w:r>
    </w:p>
    <w:p w:rsidR="00A750B7" w:rsidRPr="00933BE9" w:rsidRDefault="00A750B7" w:rsidP="00A750B7">
      <w:pPr>
        <w:spacing w:before="100" w:beforeAutospacing="1" w:after="100" w:afterAutospacing="1"/>
        <w:rPr>
          <w:sz w:val="24"/>
          <w:szCs w:val="24"/>
        </w:rPr>
      </w:pPr>
      <w:r w:rsidRPr="00933BE9">
        <w:rPr>
          <w:sz w:val="24"/>
          <w:szCs w:val="24"/>
          <w:u w:val="single"/>
        </w:rPr>
        <w:t>The information belo</w:t>
      </w:r>
      <w:r w:rsidR="00B42E7F">
        <w:rPr>
          <w:sz w:val="24"/>
          <w:szCs w:val="24"/>
          <w:u w:val="single"/>
        </w:rPr>
        <w:t xml:space="preserve">w represents Medical/Healthcare </w:t>
      </w:r>
      <w:r w:rsidRPr="00933BE9">
        <w:rPr>
          <w:sz w:val="24"/>
          <w:szCs w:val="24"/>
          <w:u w:val="single"/>
        </w:rPr>
        <w:t>“Red Lines” –</w:t>
      </w:r>
      <w:r w:rsidRPr="00933BE9">
        <w:rPr>
          <w:sz w:val="24"/>
          <w:szCs w:val="24"/>
        </w:rPr>
        <w:t xml:space="preserve"> </w:t>
      </w:r>
    </w:p>
    <w:p w:rsidR="00A750B7" w:rsidRPr="00B42E7F" w:rsidRDefault="00A750B7" w:rsidP="00A750B7">
      <w:pPr>
        <w:spacing w:before="100" w:beforeAutospacing="1" w:after="100" w:afterAutospacing="1"/>
        <w:rPr>
          <w:sz w:val="24"/>
          <w:szCs w:val="24"/>
          <w:u w:val="single"/>
        </w:rPr>
      </w:pPr>
      <w:proofErr w:type="gramStart"/>
      <w:r w:rsidRPr="00B42E7F">
        <w:rPr>
          <w:sz w:val="24"/>
          <w:szCs w:val="24"/>
          <w:u w:val="single"/>
        </w:rPr>
        <w:t>Conditions, illnesses, treatments, or medications which for either cost implication reasons or pragmatic reasons will likely lead to the refusal of a permit by the Principal Immigration Officer on medical grounds.</w:t>
      </w:r>
      <w:proofErr w:type="gramEnd"/>
    </w:p>
    <w:p w:rsidR="00A750B7" w:rsidRPr="00413996" w:rsidRDefault="00A750B7" w:rsidP="00A750B7">
      <w:pPr>
        <w:spacing w:before="100" w:beforeAutospacing="1" w:after="100" w:afterAutospacing="1"/>
        <w:rPr>
          <w:sz w:val="24"/>
          <w:szCs w:val="24"/>
        </w:rPr>
      </w:pPr>
      <w:r w:rsidRPr="00413996">
        <w:rPr>
          <w:sz w:val="24"/>
          <w:szCs w:val="24"/>
        </w:rPr>
        <w:t xml:space="preserve">Section 17F(3), 17H(3), 18B(5) of the Falkland Islands Immigration Ordinance 1999 and section 22(1)(a) of the Immigration (Permanent Residence Permits) Regulations 2009 states that the Principal Immigration Officer may refuse to issue an </w:t>
      </w:r>
      <w:r>
        <w:rPr>
          <w:sz w:val="24"/>
          <w:szCs w:val="24"/>
        </w:rPr>
        <w:t xml:space="preserve">application for a work permit, accompanying dependent permit, dependent permit, or </w:t>
      </w:r>
      <w:r w:rsidRPr="00413996">
        <w:rPr>
          <w:sz w:val="24"/>
          <w:szCs w:val="24"/>
        </w:rPr>
        <w:t>permanent residence permit if:</w:t>
      </w:r>
    </w:p>
    <w:p w:rsidR="00A750B7" w:rsidRPr="00933BE9" w:rsidRDefault="00A750B7" w:rsidP="00A750B7">
      <w:pPr>
        <w:spacing w:before="100" w:beforeAutospacing="1" w:after="100" w:afterAutospacing="1"/>
        <w:rPr>
          <w:i/>
          <w:sz w:val="24"/>
          <w:szCs w:val="24"/>
        </w:rPr>
      </w:pPr>
      <w:r w:rsidRPr="00933BE9">
        <w:rPr>
          <w:i/>
          <w:sz w:val="24"/>
          <w:szCs w:val="24"/>
        </w:rPr>
        <w:t>“</w:t>
      </w:r>
      <w:proofErr w:type="gramStart"/>
      <w:r w:rsidRPr="00933BE9">
        <w:rPr>
          <w:i/>
          <w:sz w:val="24"/>
          <w:szCs w:val="24"/>
        </w:rPr>
        <w:t>it</w:t>
      </w:r>
      <w:proofErr w:type="gramEnd"/>
      <w:r w:rsidRPr="00933BE9">
        <w:rPr>
          <w:i/>
          <w:sz w:val="24"/>
          <w:szCs w:val="24"/>
        </w:rPr>
        <w:t xml:space="preserve"> appears likely that, if it were issued, the applicant would be or become a substantial charge on public funds because of the person’s medical or healthcare needs”.</w:t>
      </w:r>
    </w:p>
    <w:p w:rsidR="00A750B7" w:rsidRDefault="00A750B7" w:rsidP="00A750B7">
      <w:pPr>
        <w:spacing w:before="100" w:beforeAutospacing="1" w:after="100" w:afterAutospacing="1"/>
        <w:rPr>
          <w:sz w:val="24"/>
          <w:szCs w:val="24"/>
        </w:rPr>
      </w:pPr>
      <w:r w:rsidRPr="00933BE9">
        <w:rPr>
          <w:b/>
          <w:sz w:val="24"/>
          <w:szCs w:val="24"/>
        </w:rPr>
        <w:t>Substantial charge on public funds</w:t>
      </w:r>
      <w:r w:rsidRPr="00413996">
        <w:rPr>
          <w:sz w:val="24"/>
          <w:szCs w:val="24"/>
        </w:rPr>
        <w:t xml:space="preserve"> is defined as meaning </w:t>
      </w:r>
      <w:r>
        <w:rPr>
          <w:sz w:val="24"/>
          <w:szCs w:val="24"/>
        </w:rPr>
        <w:t>–</w:t>
      </w:r>
    </w:p>
    <w:p w:rsidR="00A750B7" w:rsidRPr="00933BE9" w:rsidRDefault="00A750B7" w:rsidP="00A750B7">
      <w:pPr>
        <w:spacing w:before="100" w:beforeAutospacing="1" w:after="100" w:afterAutospacing="1"/>
        <w:rPr>
          <w:i/>
          <w:sz w:val="24"/>
          <w:szCs w:val="24"/>
        </w:rPr>
      </w:pPr>
      <w:r w:rsidRPr="00933BE9">
        <w:rPr>
          <w:i/>
          <w:sz w:val="24"/>
          <w:szCs w:val="24"/>
        </w:rPr>
        <w:t>“</w:t>
      </w:r>
      <w:proofErr w:type="gramStart"/>
      <w:r w:rsidRPr="00933BE9">
        <w:rPr>
          <w:i/>
          <w:sz w:val="24"/>
          <w:szCs w:val="24"/>
        </w:rPr>
        <w:t>a</w:t>
      </w:r>
      <w:proofErr w:type="gramEnd"/>
      <w:r w:rsidRPr="00933BE9">
        <w:rPr>
          <w:i/>
          <w:sz w:val="24"/>
          <w:szCs w:val="24"/>
        </w:rPr>
        <w:t xml:space="preserve"> charge on public funds or any other impact on public resources that it is unreasonable, in all the circumstances, to expect the Government to bear.”</w:t>
      </w:r>
    </w:p>
    <w:p w:rsidR="00A750B7" w:rsidRPr="00413996" w:rsidRDefault="00A750B7" w:rsidP="00A750B7">
      <w:pPr>
        <w:spacing w:before="100" w:beforeAutospacing="1" w:after="100" w:afterAutospacing="1"/>
        <w:rPr>
          <w:sz w:val="24"/>
          <w:szCs w:val="24"/>
        </w:rPr>
      </w:pPr>
      <w:r>
        <w:rPr>
          <w:sz w:val="24"/>
          <w:szCs w:val="24"/>
        </w:rPr>
        <w:t>Refusal of</w:t>
      </w:r>
      <w:r w:rsidRPr="00413996">
        <w:rPr>
          <w:sz w:val="24"/>
          <w:szCs w:val="24"/>
        </w:rPr>
        <w:t xml:space="preserve"> </w:t>
      </w:r>
      <w:r>
        <w:rPr>
          <w:sz w:val="24"/>
          <w:szCs w:val="24"/>
        </w:rPr>
        <w:t xml:space="preserve">an </w:t>
      </w:r>
      <w:r w:rsidRPr="00413996">
        <w:rPr>
          <w:sz w:val="24"/>
          <w:szCs w:val="24"/>
        </w:rPr>
        <w:t xml:space="preserve">application for a permit </w:t>
      </w:r>
      <w:r>
        <w:rPr>
          <w:sz w:val="24"/>
          <w:szCs w:val="24"/>
        </w:rPr>
        <w:t xml:space="preserve">is </w:t>
      </w:r>
      <w:r w:rsidRPr="005B1ACE">
        <w:rPr>
          <w:b/>
          <w:i/>
          <w:sz w:val="24"/>
          <w:szCs w:val="24"/>
        </w:rPr>
        <w:t>likely</w:t>
      </w:r>
      <w:r>
        <w:rPr>
          <w:sz w:val="24"/>
          <w:szCs w:val="24"/>
        </w:rPr>
        <w:t xml:space="preserve"> if the applicant</w:t>
      </w:r>
      <w:r w:rsidRPr="00413996">
        <w:rPr>
          <w:sz w:val="24"/>
          <w:szCs w:val="24"/>
        </w:rPr>
        <w:t>, or somebody else</w:t>
      </w:r>
      <w:r>
        <w:rPr>
          <w:sz w:val="24"/>
          <w:szCs w:val="24"/>
        </w:rPr>
        <w:t xml:space="preserve"> included</w:t>
      </w:r>
      <w:r w:rsidRPr="00413996">
        <w:rPr>
          <w:sz w:val="24"/>
          <w:szCs w:val="24"/>
        </w:rPr>
        <w:t xml:space="preserve"> in</w:t>
      </w:r>
      <w:r>
        <w:rPr>
          <w:sz w:val="24"/>
          <w:szCs w:val="24"/>
        </w:rPr>
        <w:t xml:space="preserve"> the </w:t>
      </w:r>
      <w:r w:rsidRPr="00413996">
        <w:rPr>
          <w:sz w:val="24"/>
          <w:szCs w:val="24"/>
        </w:rPr>
        <w:t>application, ha</w:t>
      </w:r>
      <w:r>
        <w:rPr>
          <w:sz w:val="24"/>
          <w:szCs w:val="24"/>
        </w:rPr>
        <w:t xml:space="preserve">s </w:t>
      </w:r>
      <w:r w:rsidRPr="00413996">
        <w:rPr>
          <w:sz w:val="24"/>
          <w:szCs w:val="24"/>
        </w:rPr>
        <w:t>any of these conditions:</w:t>
      </w:r>
    </w:p>
    <w:p w:rsidR="00A750B7" w:rsidRPr="003C16AF" w:rsidRDefault="00A750B7" w:rsidP="00A750B7">
      <w:pPr>
        <w:widowControl/>
        <w:numPr>
          <w:ilvl w:val="0"/>
          <w:numId w:val="1"/>
        </w:numPr>
        <w:autoSpaceDE/>
        <w:autoSpaceDN/>
        <w:spacing w:before="100" w:beforeAutospacing="1" w:after="100" w:afterAutospacing="1"/>
        <w:rPr>
          <w:sz w:val="24"/>
          <w:szCs w:val="24"/>
        </w:rPr>
      </w:pPr>
      <w:r w:rsidRPr="00413996">
        <w:rPr>
          <w:sz w:val="24"/>
          <w:szCs w:val="24"/>
        </w:rPr>
        <w:t>Hepatitis B-surface antigen positive requiring anti-viral treatment</w:t>
      </w:r>
    </w:p>
    <w:p w:rsidR="00A750B7" w:rsidRPr="003C16AF" w:rsidRDefault="00A750B7" w:rsidP="00A750B7">
      <w:pPr>
        <w:widowControl/>
        <w:numPr>
          <w:ilvl w:val="0"/>
          <w:numId w:val="1"/>
        </w:numPr>
        <w:autoSpaceDE/>
        <w:autoSpaceDN/>
        <w:spacing w:before="100" w:beforeAutospacing="1" w:after="100" w:afterAutospacing="1"/>
        <w:rPr>
          <w:sz w:val="24"/>
          <w:szCs w:val="24"/>
        </w:rPr>
      </w:pPr>
      <w:r w:rsidRPr="00413996">
        <w:rPr>
          <w:sz w:val="24"/>
          <w:szCs w:val="24"/>
        </w:rPr>
        <w:t>Hepatitis C-RNA positive requiring anti-viral treatment</w:t>
      </w:r>
    </w:p>
    <w:p w:rsidR="00A750B7" w:rsidRPr="003C16AF" w:rsidRDefault="00A750B7" w:rsidP="00A750B7">
      <w:pPr>
        <w:pStyle w:val="ListParagraph"/>
        <w:widowControl/>
        <w:numPr>
          <w:ilvl w:val="0"/>
          <w:numId w:val="1"/>
        </w:numPr>
        <w:autoSpaceDE/>
        <w:autoSpaceDN/>
        <w:spacing w:before="100" w:beforeAutospacing="1" w:after="100" w:afterAutospacing="1" w:line="240" w:lineRule="auto"/>
        <w:contextualSpacing/>
        <w:rPr>
          <w:rFonts w:eastAsiaTheme="minorHAnsi"/>
          <w:sz w:val="24"/>
          <w:szCs w:val="24"/>
        </w:rPr>
      </w:pPr>
      <w:r w:rsidRPr="00413996">
        <w:rPr>
          <w:sz w:val="24"/>
          <w:szCs w:val="24"/>
        </w:rPr>
        <w:t>HIV infection requiring regular CD4/Viral load screening</w:t>
      </w:r>
    </w:p>
    <w:p w:rsidR="00A750B7" w:rsidRPr="003C16AF" w:rsidRDefault="00A750B7" w:rsidP="00A750B7">
      <w:pPr>
        <w:pStyle w:val="ListParagraph"/>
        <w:widowControl/>
        <w:numPr>
          <w:ilvl w:val="0"/>
          <w:numId w:val="1"/>
        </w:numPr>
        <w:autoSpaceDE/>
        <w:autoSpaceDN/>
        <w:spacing w:line="240" w:lineRule="auto"/>
        <w:contextualSpacing/>
        <w:jc w:val="both"/>
        <w:rPr>
          <w:sz w:val="24"/>
          <w:szCs w:val="24"/>
          <w:lang w:val="en-US" w:eastAsia="en-US"/>
        </w:rPr>
      </w:pPr>
      <w:proofErr w:type="spellStart"/>
      <w:r w:rsidRPr="00413996">
        <w:rPr>
          <w:sz w:val="24"/>
          <w:szCs w:val="24"/>
          <w:lang w:val="en-US"/>
        </w:rPr>
        <w:t>Haemophilia</w:t>
      </w:r>
      <w:proofErr w:type="spellEnd"/>
      <w:r w:rsidRPr="00413996">
        <w:rPr>
          <w:sz w:val="24"/>
          <w:szCs w:val="24"/>
          <w:lang w:val="en-US"/>
        </w:rPr>
        <w:t xml:space="preserve"> – or other complex blood disorders</w:t>
      </w:r>
    </w:p>
    <w:p w:rsidR="00A750B7" w:rsidRPr="00413996" w:rsidRDefault="00A750B7" w:rsidP="00A750B7">
      <w:pPr>
        <w:widowControl/>
        <w:numPr>
          <w:ilvl w:val="0"/>
          <w:numId w:val="1"/>
        </w:numPr>
        <w:autoSpaceDE/>
        <w:autoSpaceDN/>
        <w:spacing w:before="100" w:beforeAutospacing="1" w:after="100" w:afterAutospacing="1"/>
        <w:rPr>
          <w:sz w:val="24"/>
          <w:szCs w:val="24"/>
        </w:rPr>
      </w:pPr>
      <w:r w:rsidRPr="00413996">
        <w:rPr>
          <w:sz w:val="24"/>
          <w:szCs w:val="24"/>
        </w:rPr>
        <w:t xml:space="preserve">Malignancies of organs, </w:t>
      </w:r>
      <w:r w:rsidR="00C93EA9">
        <w:rPr>
          <w:sz w:val="24"/>
          <w:szCs w:val="24"/>
        </w:rPr>
        <w:t xml:space="preserve">cells, </w:t>
      </w:r>
      <w:bookmarkStart w:id="1" w:name="_GoBack"/>
      <w:bookmarkEnd w:id="1"/>
      <w:r w:rsidRPr="00413996">
        <w:rPr>
          <w:sz w:val="24"/>
          <w:szCs w:val="24"/>
        </w:rPr>
        <w:t>skin (such as melanoma) and haematopoietic tissue, including if you have had this in the past, or are currently undergoing treatment. Exceptions are:</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treated minor skin malignancies</w:t>
      </w:r>
    </w:p>
    <w:p w:rsidR="00A750B7"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malignancies where the length of time since treatment means the likelihood of it recurring is below 10%</w:t>
      </w:r>
    </w:p>
    <w:p w:rsidR="00A750B7" w:rsidRPr="00413996" w:rsidRDefault="00A750B7" w:rsidP="00A750B7">
      <w:pPr>
        <w:widowControl/>
        <w:numPr>
          <w:ilvl w:val="0"/>
          <w:numId w:val="1"/>
        </w:numPr>
        <w:autoSpaceDE/>
        <w:autoSpaceDN/>
        <w:spacing w:before="100" w:beforeAutospacing="1" w:after="100" w:afterAutospacing="1"/>
        <w:rPr>
          <w:sz w:val="24"/>
          <w:szCs w:val="24"/>
        </w:rPr>
      </w:pPr>
      <w:r w:rsidRPr="00413996">
        <w:rPr>
          <w:sz w:val="24"/>
          <w:szCs w:val="24"/>
        </w:rPr>
        <w:t>Requirement for organ transplants or following organ transplant when immune suppression is required</w:t>
      </w:r>
    </w:p>
    <w:p w:rsidR="00A750B7" w:rsidRPr="00413996" w:rsidRDefault="00C37CF3" w:rsidP="00A750B7">
      <w:pPr>
        <w:widowControl/>
        <w:numPr>
          <w:ilvl w:val="0"/>
          <w:numId w:val="1"/>
        </w:numPr>
        <w:autoSpaceDE/>
        <w:autoSpaceDN/>
        <w:spacing w:before="100" w:beforeAutospacing="1" w:after="100" w:afterAutospacing="1"/>
        <w:rPr>
          <w:sz w:val="24"/>
          <w:szCs w:val="24"/>
        </w:rPr>
      </w:pPr>
      <w:r>
        <w:rPr>
          <w:sz w:val="24"/>
          <w:szCs w:val="24"/>
        </w:rPr>
        <w:t xml:space="preserve">Severe, chronic, </w:t>
      </w:r>
      <w:r w:rsidR="00A750B7" w:rsidRPr="00413996">
        <w:rPr>
          <w:sz w:val="24"/>
          <w:szCs w:val="24"/>
        </w:rPr>
        <w:t>progressive</w:t>
      </w:r>
      <w:r>
        <w:rPr>
          <w:sz w:val="24"/>
          <w:szCs w:val="24"/>
        </w:rPr>
        <w:t>, or poorly controlled</w:t>
      </w:r>
      <w:r w:rsidR="00A750B7" w:rsidRPr="00413996">
        <w:rPr>
          <w:sz w:val="24"/>
          <w:szCs w:val="24"/>
        </w:rPr>
        <w:t xml:space="preserve"> renal or hepatic disorders</w:t>
      </w:r>
    </w:p>
    <w:p w:rsidR="00A750B7" w:rsidRPr="00413996" w:rsidRDefault="00A750B7" w:rsidP="00A750B7">
      <w:pPr>
        <w:widowControl/>
        <w:numPr>
          <w:ilvl w:val="0"/>
          <w:numId w:val="1"/>
        </w:numPr>
        <w:autoSpaceDE/>
        <w:autoSpaceDN/>
        <w:spacing w:before="100" w:beforeAutospacing="1" w:after="100" w:afterAutospacing="1"/>
        <w:rPr>
          <w:sz w:val="24"/>
          <w:szCs w:val="24"/>
        </w:rPr>
      </w:pPr>
      <w:r w:rsidRPr="00413996">
        <w:rPr>
          <w:sz w:val="24"/>
          <w:szCs w:val="24"/>
        </w:rPr>
        <w:t>Musculoskeletal diseases or disorders, such as osteoarthritis and osteoporosis, likely to require surgery</w:t>
      </w:r>
    </w:p>
    <w:p w:rsidR="00A750B7" w:rsidRPr="003C16AF" w:rsidRDefault="00A750B7" w:rsidP="00A750B7">
      <w:pPr>
        <w:widowControl/>
        <w:numPr>
          <w:ilvl w:val="0"/>
          <w:numId w:val="1"/>
        </w:numPr>
        <w:autoSpaceDE/>
        <w:autoSpaceDN/>
        <w:spacing w:before="100" w:beforeAutospacing="1" w:after="100" w:afterAutospacing="1"/>
        <w:rPr>
          <w:sz w:val="24"/>
          <w:szCs w:val="24"/>
        </w:rPr>
      </w:pPr>
      <w:r w:rsidRPr="00413996">
        <w:rPr>
          <w:sz w:val="24"/>
          <w:szCs w:val="24"/>
        </w:rPr>
        <w:t>Severe, chronic or progressive neurological disorders, including but not limited to:</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any dementia including Alzheimer's disease</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poorly controlled epilepsy</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complex seizure disorder</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cerebrovascular disease</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cerebral palsy</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paraplegia, quadriplegia</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poliomyelitis</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Parkinson’s disease</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motor neurone disease, Huntington’s disease, muscular dystrophy</w:t>
      </w:r>
    </w:p>
    <w:p w:rsidR="00A750B7" w:rsidRPr="00413996"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prion disease</w:t>
      </w:r>
    </w:p>
    <w:p w:rsidR="00A750B7"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lastRenderedPageBreak/>
        <w:t>relapsing or progressive multiple sclerosis or both</w:t>
      </w:r>
    </w:p>
    <w:p w:rsidR="00A750B7" w:rsidRDefault="00A750B7" w:rsidP="00A750B7">
      <w:pPr>
        <w:pStyle w:val="ListParagraph"/>
        <w:widowControl/>
        <w:numPr>
          <w:ilvl w:val="0"/>
          <w:numId w:val="1"/>
        </w:numPr>
        <w:autoSpaceDE/>
        <w:autoSpaceDN/>
        <w:spacing w:before="100" w:beforeAutospacing="1" w:after="100" w:afterAutospacing="1"/>
        <w:rPr>
          <w:sz w:val="24"/>
          <w:szCs w:val="24"/>
        </w:rPr>
      </w:pPr>
      <w:r>
        <w:rPr>
          <w:sz w:val="24"/>
          <w:szCs w:val="24"/>
        </w:rPr>
        <w:t>C</w:t>
      </w:r>
      <w:r w:rsidRPr="00933BE9">
        <w:rPr>
          <w:sz w:val="24"/>
          <w:szCs w:val="24"/>
        </w:rPr>
        <w:t>ardiac diseases, including but not limited to:</w:t>
      </w:r>
    </w:p>
    <w:p w:rsidR="00A750B7" w:rsidRDefault="00A750B7" w:rsidP="00A750B7">
      <w:pPr>
        <w:widowControl/>
        <w:numPr>
          <w:ilvl w:val="1"/>
          <w:numId w:val="1"/>
        </w:numPr>
        <w:autoSpaceDE/>
        <w:autoSpaceDN/>
        <w:spacing w:before="100" w:beforeAutospacing="1" w:after="100" w:afterAutospacing="1"/>
        <w:rPr>
          <w:sz w:val="24"/>
          <w:szCs w:val="24"/>
        </w:rPr>
      </w:pPr>
      <w:r w:rsidRPr="00933BE9">
        <w:rPr>
          <w:sz w:val="24"/>
          <w:szCs w:val="24"/>
        </w:rPr>
        <w:t>Severe ischaemic heart disease</w:t>
      </w:r>
    </w:p>
    <w:p w:rsidR="00A750B7" w:rsidRDefault="00A750B7" w:rsidP="00A750B7">
      <w:pPr>
        <w:widowControl/>
        <w:numPr>
          <w:ilvl w:val="1"/>
          <w:numId w:val="1"/>
        </w:numPr>
        <w:autoSpaceDE/>
        <w:autoSpaceDN/>
        <w:spacing w:before="100" w:beforeAutospacing="1" w:after="100" w:afterAutospacing="1"/>
        <w:rPr>
          <w:sz w:val="24"/>
          <w:szCs w:val="24"/>
        </w:rPr>
      </w:pPr>
      <w:r w:rsidRPr="00933BE9">
        <w:rPr>
          <w:sz w:val="24"/>
          <w:szCs w:val="24"/>
        </w:rPr>
        <w:t>Cardiomyopathy</w:t>
      </w:r>
    </w:p>
    <w:p w:rsidR="00A750B7" w:rsidRPr="00933BE9" w:rsidRDefault="00A750B7" w:rsidP="00A750B7">
      <w:pPr>
        <w:widowControl/>
        <w:numPr>
          <w:ilvl w:val="1"/>
          <w:numId w:val="1"/>
        </w:numPr>
        <w:autoSpaceDE/>
        <w:autoSpaceDN/>
        <w:spacing w:before="100" w:beforeAutospacing="1" w:after="100" w:afterAutospacing="1"/>
        <w:rPr>
          <w:sz w:val="24"/>
          <w:szCs w:val="24"/>
        </w:rPr>
      </w:pPr>
      <w:r w:rsidRPr="00933BE9">
        <w:rPr>
          <w:sz w:val="24"/>
          <w:szCs w:val="24"/>
        </w:rPr>
        <w:t>Valve disease likely to require surgery, other procedural intervention, or both</w:t>
      </w:r>
    </w:p>
    <w:p w:rsidR="00A750B7" w:rsidRDefault="00A750B7" w:rsidP="00A750B7">
      <w:pPr>
        <w:widowControl/>
        <w:numPr>
          <w:ilvl w:val="1"/>
          <w:numId w:val="1"/>
        </w:numPr>
        <w:autoSpaceDE/>
        <w:autoSpaceDN/>
        <w:spacing w:before="100" w:beforeAutospacing="1" w:after="100" w:afterAutospacing="1"/>
        <w:rPr>
          <w:sz w:val="24"/>
          <w:szCs w:val="24"/>
        </w:rPr>
      </w:pPr>
      <w:r w:rsidRPr="00413996">
        <w:rPr>
          <w:sz w:val="24"/>
          <w:szCs w:val="24"/>
        </w:rPr>
        <w:t>Aortic aneurysm likely to require surgery, other procedural intervention, or both</w:t>
      </w:r>
    </w:p>
    <w:p w:rsidR="00A750B7" w:rsidRDefault="00A750B7" w:rsidP="00A750B7">
      <w:pPr>
        <w:widowControl/>
        <w:numPr>
          <w:ilvl w:val="0"/>
          <w:numId w:val="1"/>
        </w:numPr>
        <w:autoSpaceDE/>
        <w:autoSpaceDN/>
        <w:spacing w:before="100" w:beforeAutospacing="1" w:after="100" w:afterAutospacing="1"/>
        <w:rPr>
          <w:sz w:val="24"/>
          <w:szCs w:val="24"/>
        </w:rPr>
      </w:pPr>
      <w:r w:rsidRPr="00933BE9">
        <w:rPr>
          <w:sz w:val="24"/>
          <w:szCs w:val="24"/>
        </w:rPr>
        <w:t>Chronic respiratory disease, including but not limited to:</w:t>
      </w:r>
    </w:p>
    <w:p w:rsidR="00A750B7" w:rsidRDefault="00A750B7" w:rsidP="00A750B7">
      <w:pPr>
        <w:widowControl/>
        <w:numPr>
          <w:ilvl w:val="1"/>
          <w:numId w:val="1"/>
        </w:numPr>
        <w:autoSpaceDE/>
        <w:autoSpaceDN/>
        <w:spacing w:before="100" w:beforeAutospacing="1" w:after="100" w:afterAutospacing="1"/>
        <w:rPr>
          <w:sz w:val="24"/>
          <w:szCs w:val="24"/>
        </w:rPr>
      </w:pPr>
      <w:r w:rsidRPr="00933BE9">
        <w:rPr>
          <w:sz w:val="24"/>
          <w:szCs w:val="24"/>
        </w:rPr>
        <w:t>Severe or progressive restrictive (including int</w:t>
      </w:r>
      <w:r>
        <w:rPr>
          <w:sz w:val="24"/>
          <w:szCs w:val="24"/>
        </w:rPr>
        <w:t>erstitial) lung disease, or both</w:t>
      </w:r>
    </w:p>
    <w:p w:rsidR="00A750B7" w:rsidRDefault="00A750B7" w:rsidP="00A750B7">
      <w:pPr>
        <w:widowControl/>
        <w:numPr>
          <w:ilvl w:val="1"/>
          <w:numId w:val="1"/>
        </w:numPr>
        <w:autoSpaceDE/>
        <w:autoSpaceDN/>
        <w:spacing w:before="100" w:beforeAutospacing="1" w:after="100" w:afterAutospacing="1"/>
        <w:rPr>
          <w:sz w:val="24"/>
          <w:szCs w:val="24"/>
        </w:rPr>
      </w:pPr>
      <w:r w:rsidRPr="00933BE9">
        <w:rPr>
          <w:sz w:val="24"/>
          <w:szCs w:val="24"/>
        </w:rPr>
        <w:t>Severe or progressive obstructive lung disease, or both</w:t>
      </w:r>
    </w:p>
    <w:p w:rsidR="00A750B7" w:rsidRDefault="00A750B7" w:rsidP="00A750B7">
      <w:pPr>
        <w:widowControl/>
        <w:numPr>
          <w:ilvl w:val="1"/>
          <w:numId w:val="1"/>
        </w:numPr>
        <w:autoSpaceDE/>
        <w:autoSpaceDN/>
        <w:spacing w:before="100" w:beforeAutospacing="1" w:after="100" w:afterAutospacing="1"/>
        <w:rPr>
          <w:sz w:val="24"/>
          <w:szCs w:val="24"/>
        </w:rPr>
      </w:pPr>
      <w:r w:rsidRPr="00933BE9">
        <w:rPr>
          <w:sz w:val="24"/>
          <w:szCs w:val="24"/>
        </w:rPr>
        <w:t>Cystic fibrosis</w:t>
      </w:r>
    </w:p>
    <w:p w:rsidR="00A750B7" w:rsidRDefault="00A750B7" w:rsidP="00A750B7">
      <w:pPr>
        <w:widowControl/>
        <w:numPr>
          <w:ilvl w:val="0"/>
          <w:numId w:val="1"/>
        </w:numPr>
        <w:autoSpaceDE/>
        <w:autoSpaceDN/>
        <w:spacing w:before="100" w:beforeAutospacing="1" w:after="100" w:afterAutospacing="1"/>
        <w:rPr>
          <w:sz w:val="24"/>
          <w:szCs w:val="24"/>
        </w:rPr>
      </w:pPr>
      <w:r w:rsidRPr="003C16AF">
        <w:rPr>
          <w:sz w:val="24"/>
          <w:szCs w:val="24"/>
        </w:rPr>
        <w:t>Significant or disabling hereditary disorders, including but not limited to:</w:t>
      </w:r>
    </w:p>
    <w:p w:rsidR="00A750B7" w:rsidRDefault="00A750B7" w:rsidP="00A750B7">
      <w:pPr>
        <w:widowControl/>
        <w:numPr>
          <w:ilvl w:val="1"/>
          <w:numId w:val="1"/>
        </w:numPr>
        <w:autoSpaceDE/>
        <w:autoSpaceDN/>
        <w:spacing w:before="100" w:beforeAutospacing="1" w:after="100" w:afterAutospacing="1"/>
        <w:rPr>
          <w:sz w:val="24"/>
          <w:szCs w:val="24"/>
        </w:rPr>
      </w:pPr>
      <w:r w:rsidRPr="003C16AF">
        <w:rPr>
          <w:sz w:val="24"/>
          <w:szCs w:val="24"/>
        </w:rPr>
        <w:t xml:space="preserve">Hereditary </w:t>
      </w:r>
      <w:proofErr w:type="spellStart"/>
      <w:r w:rsidRPr="003C16AF">
        <w:rPr>
          <w:sz w:val="24"/>
          <w:szCs w:val="24"/>
        </w:rPr>
        <w:t>anaemias</w:t>
      </w:r>
      <w:proofErr w:type="spellEnd"/>
      <w:r w:rsidRPr="003C16AF">
        <w:rPr>
          <w:sz w:val="24"/>
          <w:szCs w:val="24"/>
        </w:rPr>
        <w:t xml:space="preserve"> and coagulation disorders</w:t>
      </w:r>
    </w:p>
    <w:p w:rsidR="00A750B7" w:rsidRDefault="00A750B7" w:rsidP="00A750B7">
      <w:pPr>
        <w:widowControl/>
        <w:numPr>
          <w:ilvl w:val="1"/>
          <w:numId w:val="1"/>
        </w:numPr>
        <w:autoSpaceDE/>
        <w:autoSpaceDN/>
        <w:spacing w:before="100" w:beforeAutospacing="1" w:after="100" w:afterAutospacing="1"/>
        <w:rPr>
          <w:sz w:val="24"/>
          <w:szCs w:val="24"/>
        </w:rPr>
      </w:pPr>
      <w:r>
        <w:rPr>
          <w:sz w:val="24"/>
          <w:szCs w:val="24"/>
        </w:rPr>
        <w:t xml:space="preserve">Primary </w:t>
      </w:r>
      <w:proofErr w:type="spellStart"/>
      <w:r>
        <w:rPr>
          <w:sz w:val="24"/>
          <w:szCs w:val="24"/>
        </w:rPr>
        <w:t>immunodeficiencies</w:t>
      </w:r>
      <w:proofErr w:type="spellEnd"/>
    </w:p>
    <w:p w:rsidR="00A750B7" w:rsidRPr="003C16AF" w:rsidRDefault="00A750B7" w:rsidP="00A750B7">
      <w:pPr>
        <w:widowControl/>
        <w:numPr>
          <w:ilvl w:val="1"/>
          <w:numId w:val="1"/>
        </w:numPr>
        <w:autoSpaceDE/>
        <w:autoSpaceDN/>
        <w:spacing w:before="100" w:beforeAutospacing="1" w:after="100" w:afterAutospacing="1"/>
        <w:rPr>
          <w:sz w:val="24"/>
          <w:szCs w:val="24"/>
        </w:rPr>
      </w:pPr>
      <w:proofErr w:type="spellStart"/>
      <w:r w:rsidRPr="003C16AF">
        <w:rPr>
          <w:sz w:val="24"/>
          <w:szCs w:val="24"/>
        </w:rPr>
        <w:t>Gaucher’s</w:t>
      </w:r>
      <w:proofErr w:type="spellEnd"/>
      <w:r w:rsidRPr="003C16AF">
        <w:rPr>
          <w:sz w:val="24"/>
          <w:szCs w:val="24"/>
        </w:rPr>
        <w:t xml:space="preserve"> disease</w:t>
      </w:r>
    </w:p>
    <w:p w:rsidR="00A750B7" w:rsidRPr="00413996" w:rsidRDefault="00A750B7" w:rsidP="00A750B7">
      <w:pPr>
        <w:pStyle w:val="ListParagraph"/>
        <w:widowControl/>
        <w:numPr>
          <w:ilvl w:val="0"/>
          <w:numId w:val="2"/>
        </w:numPr>
        <w:autoSpaceDE/>
        <w:autoSpaceDN/>
        <w:spacing w:line="240" w:lineRule="auto"/>
        <w:contextualSpacing/>
        <w:rPr>
          <w:rFonts w:eastAsiaTheme="minorHAnsi"/>
          <w:sz w:val="24"/>
          <w:szCs w:val="24"/>
        </w:rPr>
      </w:pPr>
      <w:r w:rsidRPr="00413996">
        <w:rPr>
          <w:sz w:val="24"/>
          <w:szCs w:val="24"/>
        </w:rPr>
        <w:t xml:space="preserve">Severe autoimmune disease that may require treatment using immune-suppressant medications other than Prednisone, Methotrexate, Azathioprine or </w:t>
      </w:r>
      <w:proofErr w:type="spellStart"/>
      <w:r w:rsidRPr="00413996">
        <w:rPr>
          <w:sz w:val="24"/>
          <w:szCs w:val="24"/>
        </w:rPr>
        <w:t>Salazopyrin</w:t>
      </w:r>
      <w:proofErr w:type="spellEnd"/>
    </w:p>
    <w:p w:rsidR="00A750B7" w:rsidRPr="00413996" w:rsidRDefault="00A750B7" w:rsidP="00A750B7">
      <w:pPr>
        <w:pStyle w:val="ListParagraph"/>
        <w:widowControl/>
        <w:numPr>
          <w:ilvl w:val="0"/>
          <w:numId w:val="2"/>
        </w:numPr>
        <w:autoSpaceDE/>
        <w:autoSpaceDN/>
        <w:spacing w:line="240" w:lineRule="auto"/>
        <w:contextualSpacing/>
        <w:rPr>
          <w:sz w:val="24"/>
          <w:szCs w:val="24"/>
        </w:rPr>
      </w:pPr>
      <w:r w:rsidRPr="00413996">
        <w:rPr>
          <w:sz w:val="24"/>
          <w:szCs w:val="24"/>
        </w:rPr>
        <w:t xml:space="preserve">Severe (71–90 decibels) hearing loss or profound bilateral </w:t>
      </w:r>
      <w:proofErr w:type="spellStart"/>
      <w:r w:rsidRPr="00413996">
        <w:rPr>
          <w:sz w:val="24"/>
          <w:szCs w:val="24"/>
        </w:rPr>
        <w:t>sensori</w:t>
      </w:r>
      <w:proofErr w:type="spellEnd"/>
      <w:r w:rsidRPr="00413996">
        <w:rPr>
          <w:sz w:val="24"/>
          <w:szCs w:val="24"/>
        </w:rPr>
        <w:t>-neural hearing loss (after best-possible correction at country of origin), where significant support is required, including cochlear implants</w:t>
      </w:r>
    </w:p>
    <w:p w:rsidR="00A750B7" w:rsidRPr="00413996" w:rsidRDefault="00A750B7" w:rsidP="00A750B7">
      <w:pPr>
        <w:pStyle w:val="ListParagraph"/>
        <w:widowControl/>
        <w:numPr>
          <w:ilvl w:val="0"/>
          <w:numId w:val="2"/>
        </w:numPr>
        <w:autoSpaceDE/>
        <w:autoSpaceDN/>
        <w:spacing w:line="240" w:lineRule="auto"/>
        <w:contextualSpacing/>
        <w:rPr>
          <w:sz w:val="24"/>
          <w:szCs w:val="24"/>
        </w:rPr>
      </w:pPr>
      <w:r w:rsidRPr="00413996">
        <w:rPr>
          <w:sz w:val="24"/>
          <w:szCs w:val="24"/>
        </w:rPr>
        <w:t>Severe vision impairment with visual acuity of 6/36 or beyond (after best-possible correction at country of origin), or a loss restricting the field of vision to 15–20 degrees where significant support is required</w:t>
      </w:r>
    </w:p>
    <w:p w:rsidR="00A750B7" w:rsidRDefault="00A750B7" w:rsidP="00A750B7">
      <w:pPr>
        <w:pStyle w:val="ListParagraph"/>
        <w:widowControl/>
        <w:numPr>
          <w:ilvl w:val="0"/>
          <w:numId w:val="2"/>
        </w:numPr>
        <w:autoSpaceDE/>
        <w:autoSpaceDN/>
        <w:spacing w:line="240" w:lineRule="auto"/>
        <w:contextualSpacing/>
        <w:rPr>
          <w:sz w:val="24"/>
          <w:szCs w:val="24"/>
        </w:rPr>
      </w:pPr>
      <w:r w:rsidRPr="00413996">
        <w:rPr>
          <w:sz w:val="24"/>
          <w:szCs w:val="24"/>
        </w:rPr>
        <w:t>Severe developmental disorders or severe cognitive impairments where significant support is required, including but not limited to:</w:t>
      </w:r>
    </w:p>
    <w:p w:rsidR="00A750B7" w:rsidRDefault="00A750B7" w:rsidP="00A750B7">
      <w:pPr>
        <w:widowControl/>
        <w:numPr>
          <w:ilvl w:val="1"/>
          <w:numId w:val="1"/>
        </w:numPr>
        <w:autoSpaceDE/>
        <w:autoSpaceDN/>
        <w:spacing w:before="100" w:beforeAutospacing="1" w:after="100" w:afterAutospacing="1"/>
        <w:rPr>
          <w:sz w:val="24"/>
          <w:szCs w:val="24"/>
        </w:rPr>
      </w:pPr>
      <w:r w:rsidRPr="003C16AF">
        <w:rPr>
          <w:sz w:val="24"/>
          <w:szCs w:val="24"/>
        </w:rPr>
        <w:t>Physical disability</w:t>
      </w:r>
    </w:p>
    <w:p w:rsidR="00A750B7" w:rsidRDefault="00A750B7" w:rsidP="00A750B7">
      <w:pPr>
        <w:widowControl/>
        <w:numPr>
          <w:ilvl w:val="1"/>
          <w:numId w:val="1"/>
        </w:numPr>
        <w:autoSpaceDE/>
        <w:autoSpaceDN/>
        <w:spacing w:before="100" w:beforeAutospacing="1" w:after="100" w:afterAutospacing="1"/>
        <w:rPr>
          <w:sz w:val="24"/>
          <w:szCs w:val="24"/>
        </w:rPr>
      </w:pPr>
      <w:r w:rsidRPr="003C16AF">
        <w:rPr>
          <w:sz w:val="24"/>
          <w:szCs w:val="24"/>
        </w:rPr>
        <w:t>Intellectual disability</w:t>
      </w:r>
    </w:p>
    <w:p w:rsidR="00A750B7" w:rsidRDefault="00A750B7" w:rsidP="00A750B7">
      <w:pPr>
        <w:widowControl/>
        <w:numPr>
          <w:ilvl w:val="1"/>
          <w:numId w:val="1"/>
        </w:numPr>
        <w:autoSpaceDE/>
        <w:autoSpaceDN/>
        <w:spacing w:before="100" w:beforeAutospacing="1" w:after="100" w:afterAutospacing="1"/>
        <w:rPr>
          <w:sz w:val="24"/>
          <w:szCs w:val="24"/>
        </w:rPr>
      </w:pPr>
      <w:r w:rsidRPr="003C16AF">
        <w:rPr>
          <w:sz w:val="24"/>
          <w:szCs w:val="24"/>
        </w:rPr>
        <w:t>Autistic spectrum disorders</w:t>
      </w:r>
    </w:p>
    <w:p w:rsidR="00A750B7" w:rsidRDefault="00A750B7" w:rsidP="00A750B7">
      <w:pPr>
        <w:widowControl/>
        <w:numPr>
          <w:ilvl w:val="1"/>
          <w:numId w:val="1"/>
        </w:numPr>
        <w:autoSpaceDE/>
        <w:autoSpaceDN/>
        <w:spacing w:before="100" w:beforeAutospacing="1" w:after="100" w:afterAutospacing="1"/>
        <w:rPr>
          <w:sz w:val="24"/>
          <w:szCs w:val="24"/>
        </w:rPr>
      </w:pPr>
      <w:r w:rsidRPr="003C16AF">
        <w:rPr>
          <w:sz w:val="24"/>
          <w:szCs w:val="24"/>
        </w:rPr>
        <w:t>Brain injury</w:t>
      </w:r>
    </w:p>
    <w:p w:rsidR="00A750B7" w:rsidRPr="003C16AF" w:rsidRDefault="00A750B7" w:rsidP="00A750B7">
      <w:pPr>
        <w:pStyle w:val="ListParagraph"/>
        <w:widowControl/>
        <w:numPr>
          <w:ilvl w:val="0"/>
          <w:numId w:val="2"/>
        </w:numPr>
        <w:autoSpaceDE/>
        <w:autoSpaceDN/>
        <w:spacing w:line="240" w:lineRule="auto"/>
        <w:contextualSpacing/>
        <w:rPr>
          <w:sz w:val="24"/>
          <w:szCs w:val="24"/>
        </w:rPr>
      </w:pPr>
      <w:r w:rsidRPr="003C16AF">
        <w:rPr>
          <w:sz w:val="24"/>
          <w:szCs w:val="24"/>
        </w:rPr>
        <w:t>Psychiatric illness or addiction, or both, including any psychiatric condition that has required hospitalisation or significant support, or both</w:t>
      </w:r>
    </w:p>
    <w:p w:rsidR="00A750B7" w:rsidRPr="00413996" w:rsidRDefault="00A750B7" w:rsidP="00A750B7">
      <w:pPr>
        <w:rPr>
          <w:sz w:val="24"/>
          <w:szCs w:val="24"/>
        </w:rPr>
      </w:pPr>
    </w:p>
    <w:p w:rsidR="00A750B7" w:rsidRPr="00933BE9" w:rsidRDefault="00A750B7" w:rsidP="00A750B7">
      <w:pPr>
        <w:pStyle w:val="ListParagraph"/>
        <w:widowControl/>
        <w:numPr>
          <w:ilvl w:val="0"/>
          <w:numId w:val="3"/>
        </w:numPr>
        <w:autoSpaceDE/>
        <w:autoSpaceDN/>
        <w:spacing w:line="240" w:lineRule="auto"/>
        <w:contextualSpacing/>
        <w:rPr>
          <w:sz w:val="24"/>
          <w:szCs w:val="24"/>
        </w:rPr>
      </w:pPr>
      <w:r w:rsidRPr="00933BE9">
        <w:rPr>
          <w:sz w:val="24"/>
          <w:szCs w:val="24"/>
        </w:rPr>
        <w:t xml:space="preserve">Morbid Obesity, noting there is a </w:t>
      </w:r>
      <w:r w:rsidRPr="00933BE9">
        <w:rPr>
          <w:i/>
          <w:sz w:val="24"/>
          <w:szCs w:val="24"/>
        </w:rPr>
        <w:t>maximum weight capacity</w:t>
      </w:r>
      <w:r w:rsidRPr="00933BE9">
        <w:rPr>
          <w:sz w:val="24"/>
          <w:szCs w:val="24"/>
        </w:rPr>
        <w:t xml:space="preserve"> for patients for med</w:t>
      </w:r>
      <w:r>
        <w:rPr>
          <w:sz w:val="24"/>
          <w:szCs w:val="24"/>
        </w:rPr>
        <w:t>-</w:t>
      </w:r>
      <w:proofErr w:type="spellStart"/>
      <w:r w:rsidRPr="00933BE9">
        <w:rPr>
          <w:sz w:val="24"/>
          <w:szCs w:val="24"/>
        </w:rPr>
        <w:t>evacs</w:t>
      </w:r>
      <w:proofErr w:type="spellEnd"/>
      <w:r w:rsidR="005B1ACE">
        <w:rPr>
          <w:sz w:val="24"/>
          <w:szCs w:val="24"/>
        </w:rPr>
        <w:t xml:space="preserve"> </w:t>
      </w:r>
      <w:r w:rsidR="00447C86">
        <w:rPr>
          <w:sz w:val="24"/>
          <w:szCs w:val="24"/>
          <w:highlight w:val="yellow"/>
        </w:rPr>
        <w:t>(this is 113</w:t>
      </w:r>
      <w:r w:rsidR="005B1ACE" w:rsidRPr="005B1ACE">
        <w:rPr>
          <w:sz w:val="24"/>
          <w:szCs w:val="24"/>
          <w:highlight w:val="yellow"/>
        </w:rPr>
        <w:t>kg)</w:t>
      </w:r>
      <w:r>
        <w:rPr>
          <w:sz w:val="24"/>
          <w:szCs w:val="24"/>
        </w:rPr>
        <w:t xml:space="preserve">, patients that exceed the maximum allowed weight </w:t>
      </w:r>
      <w:r w:rsidRPr="00933BE9">
        <w:rPr>
          <w:i/>
          <w:sz w:val="24"/>
          <w:szCs w:val="24"/>
        </w:rPr>
        <w:t xml:space="preserve">will not be able to be </w:t>
      </w:r>
      <w:r w:rsidR="005B1ACE">
        <w:rPr>
          <w:i/>
          <w:sz w:val="24"/>
          <w:szCs w:val="24"/>
        </w:rPr>
        <w:t xml:space="preserve">easily </w:t>
      </w:r>
      <w:r w:rsidRPr="00933BE9">
        <w:rPr>
          <w:i/>
          <w:sz w:val="24"/>
          <w:szCs w:val="24"/>
        </w:rPr>
        <w:t>med-</w:t>
      </w:r>
      <w:proofErr w:type="spellStart"/>
      <w:r w:rsidRPr="00933BE9">
        <w:rPr>
          <w:i/>
          <w:sz w:val="24"/>
          <w:szCs w:val="24"/>
        </w:rPr>
        <w:t>evaced</w:t>
      </w:r>
      <w:proofErr w:type="spellEnd"/>
      <w:r w:rsidRPr="00933BE9">
        <w:rPr>
          <w:i/>
          <w:sz w:val="24"/>
          <w:szCs w:val="24"/>
        </w:rPr>
        <w:t xml:space="preserve"> from the Falklands</w:t>
      </w:r>
      <w:r>
        <w:rPr>
          <w:sz w:val="24"/>
          <w:szCs w:val="24"/>
        </w:rPr>
        <w:t>.</w:t>
      </w:r>
    </w:p>
    <w:p w:rsidR="00A750B7" w:rsidRPr="00413996" w:rsidRDefault="00A750B7" w:rsidP="00A750B7">
      <w:pPr>
        <w:jc w:val="both"/>
        <w:rPr>
          <w:sz w:val="24"/>
          <w:szCs w:val="24"/>
          <w:lang w:val="en-US" w:eastAsia="en-US"/>
        </w:rPr>
      </w:pPr>
    </w:p>
    <w:p w:rsidR="00A750B7" w:rsidRPr="00413996" w:rsidRDefault="00A750B7" w:rsidP="00A750B7">
      <w:pPr>
        <w:pStyle w:val="ListParagraph"/>
        <w:widowControl/>
        <w:numPr>
          <w:ilvl w:val="0"/>
          <w:numId w:val="4"/>
        </w:numPr>
        <w:autoSpaceDE/>
        <w:autoSpaceDN/>
        <w:spacing w:line="240" w:lineRule="auto"/>
        <w:contextualSpacing/>
        <w:jc w:val="both"/>
        <w:rPr>
          <w:sz w:val="24"/>
          <w:szCs w:val="24"/>
          <w:lang w:val="en-US"/>
        </w:rPr>
      </w:pPr>
      <w:r w:rsidRPr="00413996">
        <w:rPr>
          <w:sz w:val="24"/>
          <w:szCs w:val="24"/>
          <w:lang w:val="en-US"/>
        </w:rPr>
        <w:t>Problems Serious Dental decay or advanced gum disease</w:t>
      </w:r>
    </w:p>
    <w:p w:rsidR="00A750B7" w:rsidRPr="00413996" w:rsidRDefault="00A750B7" w:rsidP="00A750B7">
      <w:pPr>
        <w:jc w:val="both"/>
        <w:rPr>
          <w:sz w:val="24"/>
          <w:szCs w:val="24"/>
          <w:lang w:val="en-US"/>
        </w:rPr>
      </w:pPr>
    </w:p>
    <w:p w:rsidR="00A750B7" w:rsidRPr="00413996" w:rsidRDefault="00A750B7" w:rsidP="00A750B7">
      <w:pPr>
        <w:pStyle w:val="ListParagraph"/>
        <w:widowControl/>
        <w:numPr>
          <w:ilvl w:val="0"/>
          <w:numId w:val="4"/>
        </w:numPr>
        <w:autoSpaceDE/>
        <w:autoSpaceDN/>
        <w:spacing w:line="240" w:lineRule="auto"/>
        <w:contextualSpacing/>
        <w:jc w:val="both"/>
        <w:rPr>
          <w:sz w:val="24"/>
          <w:szCs w:val="24"/>
          <w:lang w:val="en-US"/>
        </w:rPr>
      </w:pPr>
      <w:r w:rsidRPr="00413996">
        <w:rPr>
          <w:sz w:val="24"/>
          <w:szCs w:val="24"/>
          <w:lang w:val="en-US"/>
        </w:rPr>
        <w:t>Problems related to Dental implants or fixed orthodontic appliances (braces)</w:t>
      </w:r>
    </w:p>
    <w:p w:rsidR="00A750B7" w:rsidRPr="00413996" w:rsidRDefault="00A750B7" w:rsidP="00A750B7">
      <w:pPr>
        <w:pStyle w:val="ListParagraph"/>
        <w:jc w:val="both"/>
        <w:rPr>
          <w:sz w:val="24"/>
          <w:szCs w:val="24"/>
          <w:lang w:val="en-US"/>
        </w:rPr>
      </w:pPr>
    </w:p>
    <w:p w:rsidR="00A750B7" w:rsidRPr="00413996" w:rsidRDefault="00A750B7" w:rsidP="00A750B7">
      <w:pPr>
        <w:pStyle w:val="ListParagraph"/>
        <w:widowControl/>
        <w:numPr>
          <w:ilvl w:val="0"/>
          <w:numId w:val="4"/>
        </w:numPr>
        <w:autoSpaceDE/>
        <w:autoSpaceDN/>
        <w:spacing w:line="240" w:lineRule="auto"/>
        <w:contextualSpacing/>
        <w:jc w:val="both"/>
        <w:rPr>
          <w:sz w:val="24"/>
          <w:szCs w:val="24"/>
          <w:lang w:val="en-US"/>
        </w:rPr>
      </w:pPr>
      <w:r w:rsidRPr="00413996">
        <w:rPr>
          <w:sz w:val="24"/>
          <w:szCs w:val="24"/>
          <w:lang w:val="en-US"/>
        </w:rPr>
        <w:t>History or diagnostic findings of, or treatment for, MDR-TB or XDR-TB</w:t>
      </w:r>
    </w:p>
    <w:p w:rsidR="00A750B7" w:rsidRPr="00413996" w:rsidRDefault="00A750B7" w:rsidP="00A750B7">
      <w:pPr>
        <w:jc w:val="both"/>
        <w:rPr>
          <w:sz w:val="24"/>
          <w:szCs w:val="24"/>
          <w:lang w:val="en-US"/>
        </w:rPr>
      </w:pPr>
    </w:p>
    <w:p w:rsidR="00D12F62" w:rsidRDefault="00A750B7" w:rsidP="00A750B7">
      <w:r w:rsidRPr="00413996">
        <w:rPr>
          <w:sz w:val="24"/>
          <w:szCs w:val="24"/>
          <w:lang w:val="en-US"/>
        </w:rPr>
        <w:t>If you are currently taking a medication that is not possible to source through our supply chain in the Falkland Islands, or yo</w:t>
      </w:r>
      <w:r w:rsidR="005B1ACE">
        <w:rPr>
          <w:sz w:val="24"/>
          <w:szCs w:val="24"/>
          <w:lang w:val="en-US"/>
        </w:rPr>
        <w:t>ur medication costs more than £2,5</w:t>
      </w:r>
      <w:r w:rsidRPr="00413996">
        <w:rPr>
          <w:sz w:val="24"/>
          <w:szCs w:val="24"/>
          <w:lang w:val="en-US"/>
        </w:rPr>
        <w:t>00 p.a.</w:t>
      </w:r>
    </w:p>
    <w:sectPr w:rsidR="00D12F6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0B7" w:rsidRDefault="00A750B7" w:rsidP="00A750B7">
      <w:r>
        <w:separator/>
      </w:r>
    </w:p>
  </w:endnote>
  <w:endnote w:type="continuationSeparator" w:id="0">
    <w:p w:rsidR="00A750B7" w:rsidRDefault="00A750B7" w:rsidP="00A7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233557"/>
      <w:docPartObj>
        <w:docPartGallery w:val="Page Numbers (Bottom of Page)"/>
        <w:docPartUnique/>
      </w:docPartObj>
    </w:sdtPr>
    <w:sdtEndPr>
      <w:rPr>
        <w:noProof/>
      </w:rPr>
    </w:sdtEndPr>
    <w:sdtContent>
      <w:p w:rsidR="00B42E7F" w:rsidRDefault="00B42E7F">
        <w:pPr>
          <w:pStyle w:val="Footer"/>
          <w:jc w:val="center"/>
        </w:pPr>
        <w:r>
          <w:fldChar w:fldCharType="begin"/>
        </w:r>
        <w:r>
          <w:instrText xml:space="preserve"> PAGE   \* MERGEFORMAT </w:instrText>
        </w:r>
        <w:r>
          <w:fldChar w:fldCharType="separate"/>
        </w:r>
        <w:r w:rsidR="00C93EA9">
          <w:rPr>
            <w:noProof/>
          </w:rPr>
          <w:t>1</w:t>
        </w:r>
        <w:r>
          <w:rPr>
            <w:noProof/>
          </w:rPr>
          <w:fldChar w:fldCharType="end"/>
        </w:r>
      </w:p>
    </w:sdtContent>
  </w:sdt>
  <w:p w:rsidR="00B42E7F" w:rsidRDefault="00B42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0B7" w:rsidRDefault="00A750B7" w:rsidP="00A750B7">
      <w:r>
        <w:separator/>
      </w:r>
    </w:p>
  </w:footnote>
  <w:footnote w:type="continuationSeparator" w:id="0">
    <w:p w:rsidR="00A750B7" w:rsidRDefault="00A750B7" w:rsidP="00A75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B7" w:rsidRDefault="00A750B7">
    <w:pPr>
      <w:pStyle w:val="Header"/>
    </w:pPr>
    <w:r>
      <w:t>Im</w:t>
    </w:r>
    <w:r w:rsidR="00384F71">
      <w:t>migration Medical Policy V01_May</w:t>
    </w:r>
    <w:r>
      <w:t xml:space="preserve"> </w:t>
    </w:r>
    <w:r w:rsidR="00384F71">
      <w:t>20</w:t>
    </w:r>
    <w: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7C35"/>
    <w:multiLevelType w:val="multilevel"/>
    <w:tmpl w:val="6D98B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D625B4F"/>
    <w:multiLevelType w:val="hybridMultilevel"/>
    <w:tmpl w:val="58505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3F7146A"/>
    <w:multiLevelType w:val="hybridMultilevel"/>
    <w:tmpl w:val="C868B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F0C316B"/>
    <w:multiLevelType w:val="multilevel"/>
    <w:tmpl w:val="02028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B7"/>
    <w:rsid w:val="00384F71"/>
    <w:rsid w:val="00391D57"/>
    <w:rsid w:val="004453E3"/>
    <w:rsid w:val="00447C86"/>
    <w:rsid w:val="005B1ACE"/>
    <w:rsid w:val="0060425E"/>
    <w:rsid w:val="00A750B7"/>
    <w:rsid w:val="00B3691A"/>
    <w:rsid w:val="00B42E7F"/>
    <w:rsid w:val="00C37CF3"/>
    <w:rsid w:val="00C93EA9"/>
    <w:rsid w:val="00F41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50B7"/>
    <w:pPr>
      <w:widowControl w:val="0"/>
      <w:autoSpaceDE w:val="0"/>
      <w:autoSpaceDN w:val="0"/>
      <w:spacing w:after="0" w:line="240" w:lineRule="auto"/>
    </w:pPr>
    <w:rPr>
      <w:rFonts w:ascii="Times New Roman" w:eastAsia="Times New Roman" w:hAnsi="Times New Roman" w:cs="Times New Roman"/>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B7"/>
    <w:pPr>
      <w:spacing w:line="269" w:lineRule="exact"/>
      <w:ind w:left="832" w:hanging="360"/>
    </w:pPr>
  </w:style>
  <w:style w:type="paragraph" w:styleId="Header">
    <w:name w:val="header"/>
    <w:basedOn w:val="Normal"/>
    <w:link w:val="HeaderChar"/>
    <w:uiPriority w:val="99"/>
    <w:unhideWhenUsed/>
    <w:rsid w:val="00A750B7"/>
    <w:pPr>
      <w:tabs>
        <w:tab w:val="center" w:pos="4513"/>
        <w:tab w:val="right" w:pos="9026"/>
      </w:tabs>
    </w:pPr>
  </w:style>
  <w:style w:type="character" w:customStyle="1" w:styleId="HeaderChar">
    <w:name w:val="Header Char"/>
    <w:basedOn w:val="DefaultParagraphFont"/>
    <w:link w:val="Header"/>
    <w:uiPriority w:val="99"/>
    <w:rsid w:val="00A750B7"/>
    <w:rPr>
      <w:rFonts w:ascii="Times New Roman" w:eastAsia="Times New Roman" w:hAnsi="Times New Roman" w:cs="Times New Roman"/>
      <w:lang w:eastAsia="en-GB" w:bidi="en-GB"/>
    </w:rPr>
  </w:style>
  <w:style w:type="paragraph" w:styleId="Footer">
    <w:name w:val="footer"/>
    <w:basedOn w:val="Normal"/>
    <w:link w:val="FooterChar"/>
    <w:uiPriority w:val="99"/>
    <w:unhideWhenUsed/>
    <w:rsid w:val="00A750B7"/>
    <w:pPr>
      <w:tabs>
        <w:tab w:val="center" w:pos="4513"/>
        <w:tab w:val="right" w:pos="9026"/>
      </w:tabs>
    </w:pPr>
  </w:style>
  <w:style w:type="character" w:customStyle="1" w:styleId="FooterChar">
    <w:name w:val="Footer Char"/>
    <w:basedOn w:val="DefaultParagraphFont"/>
    <w:link w:val="Footer"/>
    <w:uiPriority w:val="99"/>
    <w:rsid w:val="00A750B7"/>
    <w:rPr>
      <w:rFonts w:ascii="Times New Roman" w:eastAsia="Times New Roman" w:hAnsi="Times New Roman" w:cs="Times New Roman"/>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50B7"/>
    <w:pPr>
      <w:widowControl w:val="0"/>
      <w:autoSpaceDE w:val="0"/>
      <w:autoSpaceDN w:val="0"/>
      <w:spacing w:after="0" w:line="240" w:lineRule="auto"/>
    </w:pPr>
    <w:rPr>
      <w:rFonts w:ascii="Times New Roman" w:eastAsia="Times New Roman" w:hAnsi="Times New Roman" w:cs="Times New Roman"/>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B7"/>
    <w:pPr>
      <w:spacing w:line="269" w:lineRule="exact"/>
      <w:ind w:left="832" w:hanging="360"/>
    </w:pPr>
  </w:style>
  <w:style w:type="paragraph" w:styleId="Header">
    <w:name w:val="header"/>
    <w:basedOn w:val="Normal"/>
    <w:link w:val="HeaderChar"/>
    <w:uiPriority w:val="99"/>
    <w:unhideWhenUsed/>
    <w:rsid w:val="00A750B7"/>
    <w:pPr>
      <w:tabs>
        <w:tab w:val="center" w:pos="4513"/>
        <w:tab w:val="right" w:pos="9026"/>
      </w:tabs>
    </w:pPr>
  </w:style>
  <w:style w:type="character" w:customStyle="1" w:styleId="HeaderChar">
    <w:name w:val="Header Char"/>
    <w:basedOn w:val="DefaultParagraphFont"/>
    <w:link w:val="Header"/>
    <w:uiPriority w:val="99"/>
    <w:rsid w:val="00A750B7"/>
    <w:rPr>
      <w:rFonts w:ascii="Times New Roman" w:eastAsia="Times New Roman" w:hAnsi="Times New Roman" w:cs="Times New Roman"/>
      <w:lang w:eastAsia="en-GB" w:bidi="en-GB"/>
    </w:rPr>
  </w:style>
  <w:style w:type="paragraph" w:styleId="Footer">
    <w:name w:val="footer"/>
    <w:basedOn w:val="Normal"/>
    <w:link w:val="FooterChar"/>
    <w:uiPriority w:val="99"/>
    <w:unhideWhenUsed/>
    <w:rsid w:val="00A750B7"/>
    <w:pPr>
      <w:tabs>
        <w:tab w:val="center" w:pos="4513"/>
        <w:tab w:val="right" w:pos="9026"/>
      </w:tabs>
    </w:pPr>
  </w:style>
  <w:style w:type="character" w:customStyle="1" w:styleId="FooterChar">
    <w:name w:val="Footer Char"/>
    <w:basedOn w:val="DefaultParagraphFont"/>
    <w:link w:val="Footer"/>
    <w:uiPriority w:val="99"/>
    <w:rsid w:val="00A750B7"/>
    <w:rPr>
      <w:rFonts w:ascii="Times New Roman" w:eastAsia="Times New Roman" w:hAnsi="Times New Roman" w:cs="Times New Roman"/>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Horton (Head of Immigration)</dc:creator>
  <cp:lastModifiedBy>Jim Horton (Head of Immigration)</cp:lastModifiedBy>
  <cp:revision>7</cp:revision>
  <dcterms:created xsi:type="dcterms:W3CDTF">2026-05-06T18:28:00Z</dcterms:created>
  <dcterms:modified xsi:type="dcterms:W3CDTF">2026-06-10T13:55:00Z</dcterms:modified>
</cp:coreProperties>
</file>